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firstLine="720" w:firstLineChars="200"/>
        <w:jc w:val="center"/>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帕米尔旅游景区塔吉克民俗村风貌景观改造建设项目</w:t>
      </w:r>
    </w:p>
    <w:p>
      <w:pPr>
        <w:pStyle w:val="48"/>
        <w:spacing w:line="700" w:lineRule="exact"/>
        <w:ind w:firstLine="720" w:firstLineChars="200"/>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塔什库尔干县旅游局</w:t>
      </w:r>
    </w:p>
    <w:p>
      <w:pPr>
        <w:pStyle w:val="48"/>
        <w:spacing w:line="700" w:lineRule="exact"/>
        <w:ind w:firstLine="720" w:firstLineChars="200"/>
        <w:rPr>
          <w:rFonts w:hint="eastAsia" w:ascii="仿宋_GB2312" w:hAnsi="仿宋_GB2312" w:eastAsia="仿宋_GB2312" w:cs="仿宋_GB2312"/>
          <w:kern w:val="0"/>
          <w:sz w:val="36"/>
          <w:szCs w:val="36"/>
          <w:lang w:val="en-US"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塔什库尔干县</w:t>
      </w:r>
      <w:r>
        <w:rPr>
          <w:rFonts w:hint="eastAsia" w:ascii="仿宋_GB2312" w:hAnsi="仿宋_GB2312" w:eastAsia="仿宋_GB2312" w:cs="仿宋_GB2312"/>
          <w:kern w:val="0"/>
          <w:sz w:val="36"/>
          <w:szCs w:val="36"/>
          <w:lang w:val="zh-TW" w:eastAsia="zh-CN"/>
        </w:rPr>
        <w:t>人民政府</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周暠</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30</w:t>
      </w:r>
      <w:r>
        <w:rPr>
          <w:rFonts w:ascii="仿宋_GB2312" w:hAnsi="仿宋_GB2312" w:eastAsia="仿宋_GB2312" w:cs="仿宋_GB2312"/>
          <w:kern w:val="0"/>
          <w:sz w:val="36"/>
          <w:szCs w:val="36"/>
          <w:lang w:val="zh-TW" w:eastAsia="zh-TW"/>
        </w:rPr>
        <w:t>日</w:t>
      </w:r>
    </w:p>
    <w:p>
      <w:pPr>
        <w:pStyle w:val="48"/>
        <w:spacing w:line="700" w:lineRule="exact"/>
        <w:ind w:firstLine="720" w:firstLineChars="200"/>
        <w:jc w:val="left"/>
        <w:rPr>
          <w:rFonts w:ascii="仿宋_GB2312" w:hAnsi="仿宋_GB2312" w:eastAsia="仿宋_GB2312" w:cs="仿宋_GB2312"/>
          <w:kern w:val="0"/>
          <w:sz w:val="36"/>
          <w:szCs w:val="36"/>
          <w:lang w:val="zh-TW"/>
        </w:rPr>
      </w:pPr>
    </w:p>
    <w:p>
      <w:pPr>
        <w:pStyle w:val="48"/>
        <w:spacing w:line="700" w:lineRule="exact"/>
        <w:ind w:firstLine="720" w:firstLineChars="200"/>
        <w:jc w:val="left"/>
        <w:rPr>
          <w:rFonts w:ascii="仿宋_GB2312" w:hAnsi="仿宋_GB2312" w:eastAsia="仿宋_GB2312" w:cs="仿宋_GB2312"/>
          <w:kern w:val="0"/>
          <w:sz w:val="36"/>
          <w:szCs w:val="36"/>
          <w:lang w:val="zh-TW"/>
        </w:rPr>
      </w:pPr>
    </w:p>
    <w:p>
      <w:pPr>
        <w:pStyle w:val="48"/>
        <w:spacing w:line="700" w:lineRule="exact"/>
        <w:ind w:firstLine="627" w:firstLineChars="200"/>
        <w:jc w:val="left"/>
        <w:rPr>
          <w:rStyle w:val="19"/>
          <w:rFonts w:ascii="仿宋" w:hAnsi="仿宋" w:eastAsia="仿宋" w:cs="Times New Roman"/>
          <w:color w:val="auto"/>
          <w:spacing w:val="-4"/>
          <w:sz w:val="32"/>
          <w:szCs w:val="32"/>
        </w:r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4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该项目实施单位为塔什库尔干县塔吉克自治县旅游局，单位位于塔什库尔干县帕米尔旅游景区范围内，在编人员8人，3名行政、5名事业编，单位占地1000㎡。主管县旅游产业、景区开发等工作。</w:t>
      </w:r>
    </w:p>
    <w:p>
      <w:pPr>
        <w:adjustRightInd w:val="0"/>
        <w:snapToGrid w:val="0"/>
        <w:spacing w:line="560" w:lineRule="exact"/>
        <w:ind w:firstLine="627" w:firstLineChars="200"/>
        <w:rPr>
          <w:rStyle w:val="19"/>
          <w:rFonts w:ascii="仿宋" w:hAnsi="仿宋" w:eastAsia="仿宋"/>
          <w:spacing w:val="-4"/>
          <w:sz w:val="32"/>
          <w:szCs w:val="32"/>
        </w:rPr>
      </w:pPr>
      <w:r>
        <w:rPr>
          <w:rStyle w:val="19"/>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1、项目预期目标及阶段性目标</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目标1：对塔吉克民俗村22户居民房屋以及院落进行景观化处理。</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 xml:space="preserve"> 目标2：将院落原有围墙、路面、大门以及附属生产生活实施进行拆除，按照景区景观化要求进行改造，同时按照牧家乐建设标准，对房屋外立面，以及内部进行装饰装修。</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 xml:space="preserve"> 目标3：在民俗村新建一座演艺广场,面积250平方米。改造后的22户居民户和广场符合5A级景区标准，并投入使用，使居民接待游客进行经营生产，增收致富。</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2、项目基本性质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本项目性质为新增项目。</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3、项目用途及范围</w:t>
      </w:r>
    </w:p>
    <w:p>
      <w:pPr>
        <w:adjustRightInd w:val="0"/>
        <w:snapToGrid w:val="0"/>
        <w:spacing w:line="560" w:lineRule="exact"/>
        <w:ind w:firstLine="624" w:firstLineChars="200"/>
        <w:rPr>
          <w:rStyle w:val="19"/>
          <w:rFonts w:ascii="仿宋" w:hAnsi="仿宋" w:eastAsia="仿宋"/>
          <w:b w:val="0"/>
          <w:spacing w:val="-4"/>
          <w:sz w:val="32"/>
          <w:szCs w:val="32"/>
          <w:highlight w:val="yellow"/>
        </w:rPr>
      </w:pPr>
      <w:r>
        <w:rPr>
          <w:rStyle w:val="19"/>
          <w:rFonts w:hint="eastAsia" w:ascii="仿宋" w:hAnsi="仿宋" w:eastAsia="仿宋"/>
          <w:b w:val="0"/>
          <w:spacing w:val="-4"/>
          <w:sz w:val="32"/>
          <w:szCs w:val="32"/>
          <w:highlight w:val="none"/>
        </w:rPr>
        <w:t>该项目主要用于帕米尔旅游景区</w:t>
      </w:r>
      <w:r>
        <w:rPr>
          <w:rStyle w:val="19"/>
          <w:rFonts w:hint="eastAsia" w:ascii="仿宋" w:hAnsi="仿宋" w:eastAsia="仿宋"/>
          <w:b w:val="0"/>
          <w:spacing w:val="-4"/>
          <w:sz w:val="32"/>
          <w:szCs w:val="32"/>
          <w:highlight w:val="none"/>
          <w:lang w:eastAsia="zh-CN"/>
        </w:rPr>
        <w:t>民俗村落景观化处理</w:t>
      </w:r>
      <w:r>
        <w:rPr>
          <w:rStyle w:val="19"/>
          <w:rFonts w:hint="eastAsia" w:ascii="仿宋" w:hAnsi="仿宋" w:eastAsia="仿宋"/>
          <w:b w:val="0"/>
          <w:spacing w:val="-4"/>
          <w:sz w:val="32"/>
          <w:szCs w:val="32"/>
          <w:highlight w:val="none"/>
        </w:rPr>
        <w:t>，</w:t>
      </w:r>
      <w:r>
        <w:rPr>
          <w:rStyle w:val="19"/>
          <w:rFonts w:hint="eastAsia" w:ascii="仿宋" w:hAnsi="仿宋" w:eastAsia="仿宋"/>
          <w:b w:val="0"/>
          <w:spacing w:val="-4"/>
          <w:sz w:val="32"/>
          <w:szCs w:val="32"/>
          <w:highlight w:val="none"/>
          <w:lang w:eastAsia="zh-CN"/>
        </w:rPr>
        <w:t>院落、农家乐建设及改造，改善景区民俗风光，</w:t>
      </w:r>
      <w:r>
        <w:rPr>
          <w:rStyle w:val="19"/>
          <w:rFonts w:hint="eastAsia" w:ascii="仿宋" w:hAnsi="仿宋" w:eastAsia="仿宋"/>
          <w:b w:val="0"/>
          <w:spacing w:val="-4"/>
          <w:sz w:val="32"/>
          <w:szCs w:val="32"/>
          <w:highlight w:val="none"/>
        </w:rPr>
        <w:t>同时也</w:t>
      </w:r>
      <w:r>
        <w:rPr>
          <w:rStyle w:val="19"/>
          <w:rFonts w:hint="eastAsia" w:ascii="仿宋" w:hAnsi="仿宋" w:eastAsia="仿宋"/>
          <w:b w:val="0"/>
          <w:spacing w:val="-4"/>
          <w:sz w:val="32"/>
          <w:szCs w:val="32"/>
          <w:highlight w:val="none"/>
          <w:lang w:eastAsia="zh-CN"/>
        </w:rPr>
        <w:t>提升居民经营收入</w:t>
      </w:r>
      <w:r>
        <w:rPr>
          <w:rStyle w:val="19"/>
          <w:rFonts w:hint="eastAsia" w:ascii="仿宋" w:hAnsi="仿宋" w:eastAsia="仿宋"/>
          <w:b w:val="0"/>
          <w:spacing w:val="-4"/>
          <w:sz w:val="32"/>
          <w:szCs w:val="32"/>
          <w:highlight w:val="none"/>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758" w:firstLineChars="243"/>
        <w:rPr>
          <w:rFonts w:ascii="仿宋" w:hAnsi="仿宋" w:eastAsia="仿宋"/>
          <w:bCs/>
          <w:spacing w:val="-4"/>
          <w:sz w:val="32"/>
          <w:szCs w:val="32"/>
          <w:lang w:val="zh-TW"/>
        </w:rPr>
      </w:pPr>
      <w:r>
        <w:rPr>
          <w:rStyle w:val="19"/>
          <w:rFonts w:hint="eastAsia" w:ascii="仿宋" w:hAnsi="仿宋" w:eastAsia="仿宋"/>
          <w:b w:val="0"/>
          <w:spacing w:val="-4"/>
          <w:sz w:val="32"/>
          <w:szCs w:val="32"/>
        </w:rPr>
        <w:t>塔什库尔干塔吉克自治县帕米尔旅游景区塔吉克民俗村风貌改造建设项目预算安排总额为953.6万元，其中财政资金953.6万元。实际到位资金953.6万元，预算资金到位率100.00%万元。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塔什库尔干塔吉克自治县帕米尔景区星级旅游厕所建设项目实际资金953.6万元，预算执行率100.00%。其中用于支付施工费用953.6万元。</w:t>
      </w:r>
    </w:p>
    <w:p>
      <w:pPr>
        <w:adjustRightInd w:val="0"/>
        <w:snapToGrid w:val="0"/>
        <w:spacing w:line="560" w:lineRule="exact"/>
        <w:ind w:firstLine="627" w:firstLineChars="200"/>
        <w:outlineLvl w:val="0"/>
        <w:rPr>
          <w:rFonts w:ascii="楷体" w:hAnsi="楷体" w:eastAsia="楷体"/>
          <w:b/>
          <w:bCs/>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是根据塔什库尔干塔吉克自治县人民政府确定2017年-2018年创建国家5A级旅游景区建设工作以及瓦尔希迭村脱贫攻坚工作任务而安排的工作项目，并2017年8月份向自治县发展和改革委员会提出立项申请。塔什库尔塔吉克自治县发展和改革委员会于2017年8月11日批准了本项目建设的立项申请（塔什库尔塔吉克自治县发改项目[2017]258号”文《关于帕米尔旅游景区塔吉克民俗村风貌改造建设项目立项的批复》）。于2018年5月份完成建设工作。</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项目实施过程中按照文件要求设施项目建设单位项目管理机构，成立以副局长组长、以办公室主任以及财务室工作人员为成员的组织力量，共计配备4人，由副局长负责项目全盘工作，办公室主任负责具体抓落实，财务室同志负责落实项目资金监管、拨付相关工作。并在项目执行中制定2018年项目绩效监控工作计划以及监控工作方案，执行过程基本按照计划于方案执行。</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Fonts w:ascii="仿宋" w:hAnsi="仿宋" w:eastAsia="仿宋"/>
          <w:lang w:val="zh-TW"/>
        </w:rPr>
      </w:pPr>
      <w:r>
        <w:rPr>
          <w:rFonts w:hint="eastAsia" w:ascii="仿宋" w:hAnsi="仿宋" w:eastAsia="仿宋"/>
          <w:bCs/>
          <w:spacing w:val="-4"/>
          <w:sz w:val="32"/>
          <w:szCs w:val="32"/>
          <w:lang w:val="zh-TW"/>
        </w:rPr>
        <w:t>为保障项目的顺利实施。项目的实施遵守相关法律法规和业务管理规定，项目资料齐全并及时归档。并不定期对项目进度情况进行督导检查，对检查过程中发现的问题及时督促整改，确保了项目按时保质完成。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塔什库尔干县旅游局单位严格按照绩效管理的相关要求，对本项目绩效运行实施监控。</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本项目共设置一级指标3个，二级指标9个，三级指标15个。截止到监控日，16个三级指标的完成情况如下：</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项目完成指标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数量指标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民俗风貌改造、景观化处理：该指标标杆值为22户，实际完成值为22户。</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新建民俗村演艺广场：指标标杆值为250平米，实际完成值为250平米。</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质量指标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民俗风貌改造、景观化处理验收合格率：该指标标杆值为100%，实际完成值为100%</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新建民俗村演艺广场验收合格率：该指标标杆值为100%，实际完成值为100%</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时效指标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开工时间：该指标标杆值为开工时间 2018年4月15日，实际完成值为2018年4月15日。</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完工时间：该指标标杆值为完工时间：2018年5月15日，实际完成值为2018年5月15日。</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投入使用时间：该指标标杆值为投入使用时间： 2018年5月20日，实际完成值为2018年5月20日。</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成本指标：工程项目成本≤953.6万元，实际完成值为=953.6万元。</w:t>
      </w:r>
      <w:bookmarkStart w:id="0" w:name="_GoBack"/>
      <w:bookmarkEnd w:id="0"/>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项目效果指标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经济效益指标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参与项目就业人员增加人均年收入：该指标标杆值为</w:t>
      </w:r>
      <w:r>
        <w:rPr>
          <w:rStyle w:val="19"/>
          <w:rFonts w:hint="eastAsia" w:ascii="仿宋" w:hAnsi="仿宋" w:eastAsia="仿宋"/>
          <w:b w:val="0"/>
          <w:spacing w:val="-4"/>
          <w:sz w:val="32"/>
          <w:szCs w:val="32"/>
        </w:rPr>
        <w:tab/>
      </w:r>
      <w:r>
        <w:rPr>
          <w:rStyle w:val="19"/>
          <w:rFonts w:hint="eastAsia" w:ascii="仿宋" w:hAnsi="仿宋" w:eastAsia="仿宋"/>
          <w:b w:val="0"/>
          <w:spacing w:val="-4"/>
          <w:sz w:val="32"/>
          <w:szCs w:val="32"/>
        </w:rPr>
        <w:t>≥1500元/每年（受益户），实际完成值为1500元。</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参与项目就业贫困人员增加人均年收入：该指标标杆值为</w:t>
      </w:r>
      <w:r>
        <w:rPr>
          <w:rStyle w:val="19"/>
          <w:rFonts w:hint="eastAsia" w:ascii="仿宋" w:hAnsi="仿宋" w:eastAsia="仿宋"/>
          <w:b w:val="0"/>
          <w:spacing w:val="-4"/>
          <w:sz w:val="32"/>
          <w:szCs w:val="32"/>
        </w:rPr>
        <w:tab/>
      </w:r>
      <w:r>
        <w:rPr>
          <w:rStyle w:val="19"/>
          <w:rFonts w:hint="eastAsia" w:ascii="仿宋" w:hAnsi="仿宋" w:eastAsia="仿宋"/>
          <w:b w:val="0"/>
          <w:spacing w:val="-4"/>
          <w:sz w:val="32"/>
          <w:szCs w:val="32"/>
        </w:rPr>
        <w:t>≥1500元/每年（受益户），实际完成值为1500元。</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社会效益指标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参与项目受益户数：该指标标杆值为</w:t>
      </w:r>
      <w:r>
        <w:rPr>
          <w:rStyle w:val="19"/>
          <w:rFonts w:hint="eastAsia" w:ascii="仿宋" w:hAnsi="仿宋" w:eastAsia="仿宋"/>
          <w:b w:val="0"/>
          <w:spacing w:val="-4"/>
          <w:sz w:val="32"/>
          <w:szCs w:val="32"/>
        </w:rPr>
        <w:tab/>
      </w:r>
      <w:r>
        <w:rPr>
          <w:rStyle w:val="19"/>
          <w:rFonts w:hint="eastAsia" w:ascii="仿宋" w:hAnsi="仿宋" w:eastAsia="仿宋"/>
          <w:b w:val="0"/>
          <w:spacing w:val="-4"/>
          <w:sz w:val="32"/>
          <w:szCs w:val="32"/>
        </w:rPr>
        <w:t>≥22户（受益户），实际完成值为22户（受益户）。</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参与项目受益贫困户数：该指标标杆值为</w:t>
      </w:r>
      <w:r>
        <w:rPr>
          <w:rStyle w:val="19"/>
          <w:rFonts w:hint="eastAsia" w:ascii="仿宋" w:hAnsi="仿宋" w:eastAsia="仿宋"/>
          <w:b w:val="0"/>
          <w:spacing w:val="-4"/>
          <w:sz w:val="32"/>
          <w:szCs w:val="32"/>
        </w:rPr>
        <w:tab/>
      </w:r>
      <w:r>
        <w:rPr>
          <w:rStyle w:val="19"/>
          <w:rFonts w:hint="eastAsia" w:ascii="仿宋" w:hAnsi="仿宋" w:eastAsia="仿宋"/>
          <w:b w:val="0"/>
          <w:spacing w:val="-4"/>
          <w:sz w:val="32"/>
          <w:szCs w:val="32"/>
        </w:rPr>
        <w:t>≥22户，实际完成值为5户。</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生态效益指标</w:t>
      </w:r>
      <w:r>
        <w:rPr>
          <w:rStyle w:val="19"/>
          <w:rFonts w:hint="eastAsia" w:ascii="仿宋" w:hAnsi="仿宋" w:eastAsia="仿宋"/>
          <w:b w:val="0"/>
          <w:spacing w:val="-4"/>
          <w:sz w:val="32"/>
          <w:szCs w:val="32"/>
        </w:rPr>
        <w:tab/>
      </w:r>
      <w:r>
        <w:rPr>
          <w:rStyle w:val="19"/>
          <w:rFonts w:hint="eastAsia" w:ascii="仿宋" w:hAnsi="仿宋" w:eastAsia="仿宋"/>
          <w:b w:val="0"/>
          <w:spacing w:val="-4"/>
          <w:sz w:val="32"/>
          <w:szCs w:val="32"/>
        </w:rPr>
        <w:tab/>
      </w:r>
      <w:r>
        <w:rPr>
          <w:rStyle w:val="19"/>
          <w:rFonts w:hint="eastAsia" w:ascii="仿宋" w:hAnsi="仿宋" w:eastAsia="仿宋"/>
          <w:b w:val="0"/>
          <w:spacing w:val="-4"/>
          <w:sz w:val="32"/>
          <w:szCs w:val="32"/>
        </w:rPr>
        <w:tab/>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可持续影响指标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项目可持续使用年限：该指标标杆值为≥10年，实际完成值为10年。</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满意度指标</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游客满意度：该指标标杆值为≥90%，实际完成指标为90%。</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参与项目受益人员满意度：该指标标杆值为≥90%，实际完成指标为90%。</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参与项目贫困受益人员满意度：该指标标杆值为≥90%，实际完成指标为90%。</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bCs/>
          <w:spacing w:val="-4"/>
          <w:sz w:val="32"/>
          <w:szCs w:val="32"/>
          <w:lang w:val="zh-TW"/>
        </w:rPr>
      </w:pPr>
      <w:r>
        <w:rPr>
          <w:rFonts w:hint="eastAsia" w:ascii="仿宋" w:hAnsi="仿宋" w:eastAsia="仿宋"/>
          <w:bCs/>
          <w:spacing w:val="-4"/>
          <w:sz w:val="32"/>
          <w:szCs w:val="32"/>
          <w:lang w:val="zh-TW"/>
        </w:rPr>
        <w:t>不存在未完成情况</w:t>
      </w:r>
      <w:r>
        <w:rPr>
          <w:rFonts w:ascii="仿宋" w:hAnsi="仿宋" w:eastAsia="仿宋"/>
          <w:bCs/>
          <w:spacing w:val="-4"/>
          <w:sz w:val="32"/>
          <w:szCs w:val="32"/>
          <w:lang w:val="zh-TW"/>
        </w:rPr>
        <w:t>:</w:t>
      </w:r>
      <w:r>
        <w:rPr>
          <w:rFonts w:hint="eastAsia" w:ascii="仿宋" w:hAnsi="仿宋" w:eastAsia="仿宋"/>
          <w:bCs/>
          <w:spacing w:val="-4"/>
          <w:sz w:val="32"/>
          <w:szCs w:val="32"/>
          <w:lang w:val="zh-TW"/>
        </w:rPr>
        <w:t>2018年本项目绩效目标全部达成，不存在未完成原因分析。</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该项目建设后由县旅游局和帕米尔旅游景区管理委员会共同使用维护，后期进一步加强维护管理，提升旅游服务环境，争取更大的经济社会效益。</w:t>
      </w:r>
    </w:p>
    <w:p>
      <w:pPr>
        <w:adjustRightInd w:val="0"/>
        <w:snapToGrid w:val="0"/>
        <w:spacing w:line="560" w:lineRule="exact"/>
        <w:ind w:firstLine="627" w:firstLineChars="200"/>
        <w:outlineLvl w:val="0"/>
        <w:rPr>
          <w:rFonts w:ascii="仿宋" w:hAnsi="仿宋" w:eastAsia="仿宋"/>
          <w:b/>
          <w:spacing w:val="-4"/>
          <w:sz w:val="32"/>
          <w:szCs w:val="32"/>
        </w:rPr>
      </w:pPr>
      <w:r>
        <w:rPr>
          <w:rStyle w:val="19"/>
          <w:rFonts w:hint="eastAsia" w:ascii="楷体" w:hAnsi="楷体" w:eastAsia="楷体"/>
          <w:spacing w:val="-4"/>
          <w:sz w:val="32"/>
          <w:szCs w:val="32"/>
        </w:rPr>
        <w:t>（二）主要经验及做法、存在问题和建议</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1、主要经验及做法</w:t>
      </w:r>
    </w:p>
    <w:p>
      <w:pPr>
        <w:spacing w:line="520" w:lineRule="exact"/>
        <w:ind w:firstLine="624" w:firstLineChars="200"/>
        <w:jc w:val="left"/>
        <w:rPr>
          <w:rFonts w:ascii="仿宋" w:hAnsi="仿宋" w:eastAsia="仿宋"/>
          <w:bCs/>
          <w:spacing w:val="-4"/>
          <w:sz w:val="32"/>
          <w:szCs w:val="32"/>
          <w:lang w:val="zh-TW"/>
        </w:rPr>
      </w:pPr>
      <w:r>
        <w:rPr>
          <w:rFonts w:hint="eastAsia" w:ascii="仿宋" w:hAnsi="仿宋" w:eastAsia="仿宋"/>
          <w:bCs/>
          <w:spacing w:val="-4"/>
          <w:sz w:val="32"/>
          <w:szCs w:val="32"/>
          <w:lang w:val="zh-TW"/>
        </w:rPr>
        <w:t>无。</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 xml:space="preserve">2、存在的问题 </w:t>
      </w:r>
    </w:p>
    <w:p>
      <w:pPr>
        <w:spacing w:line="520" w:lineRule="exact"/>
        <w:ind w:firstLine="624" w:firstLineChars="200"/>
        <w:jc w:val="left"/>
        <w:rPr>
          <w:rFonts w:ascii="仿宋" w:hAnsi="仿宋" w:eastAsia="仿宋"/>
          <w:bCs/>
          <w:spacing w:val="-4"/>
          <w:sz w:val="32"/>
          <w:szCs w:val="32"/>
          <w:lang w:val="zh-TW"/>
        </w:rPr>
      </w:pPr>
      <w:r>
        <w:rPr>
          <w:rStyle w:val="19"/>
          <w:rFonts w:hint="eastAsia" w:ascii="仿宋" w:hAnsi="仿宋" w:eastAsia="仿宋"/>
          <w:b w:val="0"/>
          <w:spacing w:val="-4"/>
          <w:sz w:val="32"/>
          <w:szCs w:val="32"/>
        </w:rPr>
        <w:t>在项目实施过程中设置单位项目管理组织机构，项目执行中实际施工与计划、方案存在差异，但是仍在可控范围内</w:t>
      </w:r>
      <w:r>
        <w:rPr>
          <w:rFonts w:hint="eastAsia" w:ascii="仿宋" w:hAnsi="仿宋" w:eastAsia="仿宋"/>
          <w:bCs/>
          <w:spacing w:val="-4"/>
          <w:sz w:val="32"/>
          <w:szCs w:val="32"/>
          <w:lang w:val="zh-TW"/>
        </w:rPr>
        <w:t>。</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3、建议 ：</w:t>
      </w:r>
    </w:p>
    <w:p>
      <w:pPr>
        <w:spacing w:line="540" w:lineRule="exact"/>
        <w:ind w:firstLine="758" w:firstLineChars="243"/>
        <w:rPr>
          <w:rFonts w:ascii="仿宋" w:hAnsi="仿宋" w:eastAsia="仿宋"/>
          <w:bCs/>
          <w:spacing w:val="-4"/>
          <w:sz w:val="32"/>
          <w:szCs w:val="32"/>
          <w:lang w:val="zh-TW"/>
        </w:rPr>
      </w:pPr>
      <w:r>
        <w:rPr>
          <w:rStyle w:val="19"/>
          <w:rFonts w:hint="eastAsia" w:ascii="仿宋" w:hAnsi="仿宋" w:eastAsia="仿宋"/>
          <w:b w:val="0"/>
          <w:spacing w:val="-4"/>
          <w:sz w:val="32"/>
          <w:szCs w:val="32"/>
        </w:rPr>
        <w:t>针对存在相关问题，项目实施单位将按照项目实施管理办法、成立组织机构、配齐人员、明确职责分工，同时在项目申报过程中进行科学论证、研究，确保项目实施中减少误差。</w:t>
      </w:r>
    </w:p>
    <w:p>
      <w:pPr>
        <w:spacing w:line="520" w:lineRule="exact"/>
        <w:ind w:firstLine="627" w:firstLineChars="200"/>
        <w:jc w:val="left"/>
        <w:rPr>
          <w:rFonts w:ascii="楷体" w:hAnsi="楷体" w:eastAsia="楷体"/>
          <w:bCs/>
          <w:spacing w:val="-4"/>
          <w:sz w:val="32"/>
          <w:szCs w:val="32"/>
          <w:lang w:val="zh-TW"/>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bCs/>
          <w:color w:val="000000" w:themeColor="text1"/>
          <w:spacing w:val="-4"/>
          <w:sz w:val="32"/>
          <w:szCs w:val="32"/>
          <w:lang w:val="zh-TW"/>
        </w:rPr>
      </w:pPr>
      <w:r>
        <w:rPr>
          <w:rFonts w:hint="eastAsia" w:ascii="仿宋" w:hAnsi="仿宋" w:eastAsia="仿宋"/>
          <w:bCs/>
          <w:color w:val="000000" w:themeColor="text1"/>
          <w:spacing w:val="-4"/>
          <w:sz w:val="32"/>
          <w:szCs w:val="32"/>
          <w:lang w:val="zh-TW"/>
        </w:rPr>
        <w:t>本次评价通过文件研读、实地调研、数据分析等方式，全面了解塔什库尔干县帕米尔旅游景区塔吉克民俗村风貌景观改造资金的使用效率和效果，项目管理过程规范，完成了预期绩效目标等。同时，通过开展自我评价来总结经验和教训，为我县旅游基础设施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1588"/>
    <w:rsid w:val="0001165C"/>
    <w:rsid w:val="0012208E"/>
    <w:rsid w:val="00135256"/>
    <w:rsid w:val="00170459"/>
    <w:rsid w:val="0019656A"/>
    <w:rsid w:val="001A4E1F"/>
    <w:rsid w:val="001A57B9"/>
    <w:rsid w:val="001C3847"/>
    <w:rsid w:val="001D064F"/>
    <w:rsid w:val="001F3031"/>
    <w:rsid w:val="00210A26"/>
    <w:rsid w:val="00246A5A"/>
    <w:rsid w:val="002A1DE9"/>
    <w:rsid w:val="002A2532"/>
    <w:rsid w:val="002A2D76"/>
    <w:rsid w:val="002B1721"/>
    <w:rsid w:val="002B1D26"/>
    <w:rsid w:val="00341782"/>
    <w:rsid w:val="00365250"/>
    <w:rsid w:val="0036624C"/>
    <w:rsid w:val="00385849"/>
    <w:rsid w:val="003D467A"/>
    <w:rsid w:val="003F1A98"/>
    <w:rsid w:val="0040279F"/>
    <w:rsid w:val="00411A20"/>
    <w:rsid w:val="00412CCA"/>
    <w:rsid w:val="00443DD2"/>
    <w:rsid w:val="004821FB"/>
    <w:rsid w:val="0050167F"/>
    <w:rsid w:val="00514506"/>
    <w:rsid w:val="005162F1"/>
    <w:rsid w:val="00516E80"/>
    <w:rsid w:val="00535153"/>
    <w:rsid w:val="00575CFE"/>
    <w:rsid w:val="00583AFC"/>
    <w:rsid w:val="00585079"/>
    <w:rsid w:val="00592D09"/>
    <w:rsid w:val="005C6C73"/>
    <w:rsid w:val="005E37E0"/>
    <w:rsid w:val="006073AB"/>
    <w:rsid w:val="00657060"/>
    <w:rsid w:val="00667CBE"/>
    <w:rsid w:val="00675D58"/>
    <w:rsid w:val="006A5684"/>
    <w:rsid w:val="006F2E6D"/>
    <w:rsid w:val="00714DA9"/>
    <w:rsid w:val="007218B8"/>
    <w:rsid w:val="00755C6A"/>
    <w:rsid w:val="00785FDE"/>
    <w:rsid w:val="00790075"/>
    <w:rsid w:val="007A0351"/>
    <w:rsid w:val="007A14BC"/>
    <w:rsid w:val="007C1025"/>
    <w:rsid w:val="007E6845"/>
    <w:rsid w:val="007F579B"/>
    <w:rsid w:val="007F5F8A"/>
    <w:rsid w:val="00826CA1"/>
    <w:rsid w:val="00835B7F"/>
    <w:rsid w:val="00855E3A"/>
    <w:rsid w:val="0085783D"/>
    <w:rsid w:val="00882985"/>
    <w:rsid w:val="008B701F"/>
    <w:rsid w:val="008E7F77"/>
    <w:rsid w:val="00920388"/>
    <w:rsid w:val="00922CB9"/>
    <w:rsid w:val="009350F7"/>
    <w:rsid w:val="00976961"/>
    <w:rsid w:val="009B526F"/>
    <w:rsid w:val="009B7F85"/>
    <w:rsid w:val="009C1AFD"/>
    <w:rsid w:val="009D4BFB"/>
    <w:rsid w:val="00A26421"/>
    <w:rsid w:val="00A4293B"/>
    <w:rsid w:val="00A576B8"/>
    <w:rsid w:val="00A83BD5"/>
    <w:rsid w:val="00A977DF"/>
    <w:rsid w:val="00AE6A23"/>
    <w:rsid w:val="00AF0A57"/>
    <w:rsid w:val="00B06CA5"/>
    <w:rsid w:val="00B13FCF"/>
    <w:rsid w:val="00B41F61"/>
    <w:rsid w:val="00B42E21"/>
    <w:rsid w:val="00B5259D"/>
    <w:rsid w:val="00B55332"/>
    <w:rsid w:val="00B77773"/>
    <w:rsid w:val="00B86E8C"/>
    <w:rsid w:val="00B9504C"/>
    <w:rsid w:val="00BE1A00"/>
    <w:rsid w:val="00C00DF6"/>
    <w:rsid w:val="00C22CF0"/>
    <w:rsid w:val="00C56C72"/>
    <w:rsid w:val="00C86034"/>
    <w:rsid w:val="00CA6457"/>
    <w:rsid w:val="00CC4442"/>
    <w:rsid w:val="00CC6E4D"/>
    <w:rsid w:val="00CF5B27"/>
    <w:rsid w:val="00D17F2E"/>
    <w:rsid w:val="00D45C57"/>
    <w:rsid w:val="00D46194"/>
    <w:rsid w:val="00D829E2"/>
    <w:rsid w:val="00DE10F9"/>
    <w:rsid w:val="00E01293"/>
    <w:rsid w:val="00E027D1"/>
    <w:rsid w:val="00E769FE"/>
    <w:rsid w:val="00E86DD2"/>
    <w:rsid w:val="00E90B18"/>
    <w:rsid w:val="00EA2CBE"/>
    <w:rsid w:val="00EA5D1A"/>
    <w:rsid w:val="00EF3FFA"/>
    <w:rsid w:val="00F26FCB"/>
    <w:rsid w:val="00F32FEE"/>
    <w:rsid w:val="00F53E69"/>
    <w:rsid w:val="00F9033B"/>
    <w:rsid w:val="00F90CE5"/>
    <w:rsid w:val="00FC44BA"/>
    <w:rsid w:val="00FF4FF6"/>
    <w:rsid w:val="098207B7"/>
    <w:rsid w:val="0FBB67D1"/>
    <w:rsid w:val="20887B30"/>
    <w:rsid w:val="2319428F"/>
    <w:rsid w:val="23843F74"/>
    <w:rsid w:val="2EA00965"/>
    <w:rsid w:val="397F4FE8"/>
    <w:rsid w:val="447C6523"/>
    <w:rsid w:val="5B6E1CFB"/>
    <w:rsid w:val="63765426"/>
    <w:rsid w:val="69F770BB"/>
    <w:rsid w:val="7AC347D1"/>
    <w:rsid w:val="7C531B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uiPriority w:val="9"/>
    <w:rPr>
      <w:rFonts w:asciiTheme="majorHAnsi" w:hAnsiTheme="majorHAnsi" w:eastAsiaTheme="majorEastAsia"/>
      <w:b/>
      <w:bCs/>
      <w:kern w:val="32"/>
      <w:sz w:val="32"/>
      <w:szCs w:val="32"/>
    </w:rPr>
  </w:style>
  <w:style w:type="character" w:customStyle="1" w:styleId="22">
    <w:name w:val="标题 2 Char"/>
    <w:basedOn w:val="18"/>
    <w:link w:val="3"/>
    <w:semiHidden/>
    <w:uiPriority w:val="9"/>
    <w:rPr>
      <w:rFonts w:asciiTheme="majorHAnsi" w:hAnsiTheme="majorHAnsi" w:eastAsiaTheme="majorEastAsia"/>
      <w:b/>
      <w:bCs/>
      <w:i/>
      <w:iCs/>
      <w:sz w:val="28"/>
      <w:szCs w:val="28"/>
    </w:rPr>
  </w:style>
  <w:style w:type="character" w:customStyle="1" w:styleId="23">
    <w:name w:val="标题 3 Char"/>
    <w:basedOn w:val="18"/>
    <w:link w:val="4"/>
    <w:semiHidden/>
    <w:uiPriority w:val="9"/>
    <w:rPr>
      <w:rFonts w:asciiTheme="majorHAnsi" w:hAnsiTheme="majorHAnsi" w:eastAsiaTheme="majorEastAsia"/>
      <w:b/>
      <w:bCs/>
      <w:sz w:val="26"/>
      <w:szCs w:val="26"/>
    </w:rPr>
  </w:style>
  <w:style w:type="character" w:customStyle="1" w:styleId="24">
    <w:name w:val="标题 4 Char"/>
    <w:basedOn w:val="18"/>
    <w:link w:val="5"/>
    <w:semiHidden/>
    <w:uiPriority w:val="9"/>
    <w:rPr>
      <w:b/>
      <w:bCs/>
      <w:sz w:val="28"/>
      <w:szCs w:val="28"/>
    </w:rPr>
  </w:style>
  <w:style w:type="character" w:customStyle="1" w:styleId="25">
    <w:name w:val="标题 5 Char"/>
    <w:basedOn w:val="18"/>
    <w:link w:val="6"/>
    <w:semiHidden/>
    <w:uiPriority w:val="9"/>
    <w:rPr>
      <w:b/>
      <w:bCs/>
      <w:i/>
      <w:iCs/>
      <w:sz w:val="26"/>
      <w:szCs w:val="26"/>
    </w:rPr>
  </w:style>
  <w:style w:type="character" w:customStyle="1" w:styleId="26">
    <w:name w:val="标题 6 Char"/>
    <w:basedOn w:val="18"/>
    <w:link w:val="7"/>
    <w:semiHidden/>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63C5D4-525D-4373-A858-C8CB732440D5}">
  <ds:schemaRefs/>
</ds:datastoreItem>
</file>

<file path=docProps/app.xml><?xml version="1.0" encoding="utf-8"?>
<Properties xmlns="http://schemas.openxmlformats.org/officeDocument/2006/extended-properties" xmlns:vt="http://schemas.openxmlformats.org/officeDocument/2006/docPropsVTypes">
  <Template>Normal</Template>
  <Pages>7</Pages>
  <Words>386</Words>
  <Characters>2204</Characters>
  <Lines>18</Lines>
  <Paragraphs>5</Paragraphs>
  <TotalTime>10</TotalTime>
  <ScaleCrop>false</ScaleCrop>
  <LinksUpToDate>false</LinksUpToDate>
  <CharactersWithSpaces>2585</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2019-09-19T03:03:00Z</dcterms:created>
  <dc:creator>赵 恺（预算处）</dc:creator>
  <cp:lastModifiedBy>Administrator</cp:lastModifiedBy>
  <cp:lastPrinted>2018-12-17T10:15:00Z</cp:lastPrinted>
  <dcterms:modified xsi:type="dcterms:W3CDTF">2019-09-19T13:31:16Z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